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F247" w14:textId="77777777" w:rsidR="00C507C5" w:rsidRDefault="00C507C5" w:rsidP="00692380">
      <w:pPr>
        <w:spacing w:after="0" w:line="240" w:lineRule="auto"/>
        <w:ind w:right="-180"/>
        <w:jc w:val="center"/>
        <w:rPr>
          <w:b/>
          <w:bCs/>
        </w:rPr>
      </w:pPr>
      <w:r>
        <w:rPr>
          <w:b/>
          <w:bCs/>
        </w:rPr>
        <w:t>CAL POLY Master Plan Update, Spring 2015</w:t>
      </w:r>
    </w:p>
    <w:p w14:paraId="74B46DEC" w14:textId="77777777" w:rsidR="00FF076A" w:rsidRDefault="00FF076A" w:rsidP="00692380">
      <w:pPr>
        <w:spacing w:line="240" w:lineRule="auto"/>
        <w:ind w:right="-180"/>
        <w:jc w:val="center"/>
        <w:rPr>
          <w:b/>
          <w:bCs/>
        </w:rPr>
      </w:pPr>
      <w:r>
        <w:rPr>
          <w:b/>
          <w:bCs/>
        </w:rPr>
        <w:t>Land Use and Circulation Program</w:t>
      </w:r>
      <w:r w:rsidR="008B789F">
        <w:rPr>
          <w:b/>
          <w:bCs/>
        </w:rPr>
        <w:t xml:space="preserve"> and Guide to the Conceptual Maps</w:t>
      </w:r>
    </w:p>
    <w:p w14:paraId="48E9F8A9" w14:textId="77E586A5" w:rsidR="00C507C5" w:rsidRPr="00C507C5" w:rsidRDefault="00FF076A" w:rsidP="00692380">
      <w:pPr>
        <w:spacing w:line="240" w:lineRule="auto"/>
        <w:ind w:right="-180"/>
      </w:pPr>
      <w:r>
        <w:t>The land use and circulation program identifies activities that need to be accommodated in the master plan in order to meet its goals.  The following lists the highlights</w:t>
      </w:r>
      <w:r w:rsidR="006401E6">
        <w:t xml:space="preserve">.  Please note that some Master Plan goals, such as increasing the diversity of students, faculty and staff; </w:t>
      </w:r>
      <w:r w:rsidR="00725671">
        <w:t xml:space="preserve">cross-disciplinary learning; </w:t>
      </w:r>
      <w:r w:rsidR="00516892">
        <w:t xml:space="preserve">more vibrant evening and weekend activity; </w:t>
      </w:r>
      <w:r w:rsidR="006401E6">
        <w:t>and environmental sustainability, as well as phasing and financing are not easily represented</w:t>
      </w:r>
      <w:r w:rsidR="00750202">
        <w:t xml:space="preserve"> visually</w:t>
      </w:r>
      <w:r w:rsidR="006401E6">
        <w:t xml:space="preserve"> on </w:t>
      </w:r>
      <w:r w:rsidR="00C90727">
        <w:t xml:space="preserve">these </w:t>
      </w:r>
      <w:r w:rsidR="006401E6">
        <w:t>maps.</w:t>
      </w:r>
    </w:p>
    <w:p w14:paraId="6461F407" w14:textId="77777777" w:rsidR="00054655" w:rsidRDefault="00FA5660" w:rsidP="0069238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-180"/>
      </w:pPr>
      <w:r w:rsidRPr="00C507C5">
        <w:rPr>
          <w:b/>
          <w:bCs/>
        </w:rPr>
        <w:t>Learning Space – Formal &amp; Informal</w:t>
      </w:r>
      <w:r w:rsidR="00FF076A">
        <w:rPr>
          <w:b/>
          <w:bCs/>
        </w:rPr>
        <w:t xml:space="preserve">.  </w:t>
      </w:r>
    </w:p>
    <w:p w14:paraId="68218517" w14:textId="67863EC2" w:rsidR="00054655" w:rsidRPr="00054655" w:rsidRDefault="00157973" w:rsidP="00516892">
      <w:pPr>
        <w:numPr>
          <w:ilvl w:val="0"/>
          <w:numId w:val="3"/>
        </w:numPr>
        <w:spacing w:after="0" w:line="240" w:lineRule="auto"/>
        <w:ind w:left="720" w:right="-180"/>
      </w:pPr>
      <w:r>
        <w:rPr>
          <w:bCs/>
        </w:rPr>
        <w:t xml:space="preserve">The top priority is </w:t>
      </w:r>
      <w:r w:rsidR="00FF076A" w:rsidRPr="00054655">
        <w:rPr>
          <w:bCs/>
        </w:rPr>
        <w:t>sufficient land to add space for</w:t>
      </w:r>
      <w:r w:rsidR="00725671">
        <w:rPr>
          <w:bCs/>
        </w:rPr>
        <w:t xml:space="preserve"> Learn-by-Doing</w:t>
      </w:r>
      <w:r w:rsidR="00FF076A" w:rsidRPr="00054655">
        <w:rPr>
          <w:bCs/>
        </w:rPr>
        <w:t xml:space="preserve"> instruction, academic support, </w:t>
      </w:r>
      <w:r w:rsidR="00F11D88" w:rsidRPr="00054655">
        <w:rPr>
          <w:bCs/>
        </w:rPr>
        <w:t xml:space="preserve">and related offices </w:t>
      </w:r>
      <w:r w:rsidR="00FF076A" w:rsidRPr="00054655">
        <w:rPr>
          <w:bCs/>
        </w:rPr>
        <w:t>for all of the degrees and other academic programs</w:t>
      </w:r>
      <w:r w:rsidR="0004318B">
        <w:rPr>
          <w:bCs/>
        </w:rPr>
        <w:t>, present and</w:t>
      </w:r>
      <w:r w:rsidR="00FF076A" w:rsidRPr="00054655">
        <w:rPr>
          <w:bCs/>
        </w:rPr>
        <w:t xml:space="preserve"> future. </w:t>
      </w:r>
    </w:p>
    <w:p w14:paraId="52F54409" w14:textId="3B07F893" w:rsidR="006920C2" w:rsidRPr="00054655" w:rsidRDefault="00807F8E" w:rsidP="00516892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720" w:right="-180"/>
      </w:pPr>
      <w:r w:rsidRPr="00054655">
        <w:rPr>
          <w:bCs/>
        </w:rPr>
        <w:t>T</w:t>
      </w:r>
      <w:r w:rsidR="00B564A6" w:rsidRPr="00054655">
        <w:rPr>
          <w:bCs/>
        </w:rPr>
        <w:t>he Campus C</w:t>
      </w:r>
      <w:r w:rsidR="00FF076A" w:rsidRPr="00054655">
        <w:rPr>
          <w:bCs/>
        </w:rPr>
        <w:t xml:space="preserve">ore can be redeveloped so that </w:t>
      </w:r>
      <w:r w:rsidR="006401E6">
        <w:rPr>
          <w:bCs/>
        </w:rPr>
        <w:t>most indoor</w:t>
      </w:r>
      <w:r w:rsidR="00FF076A" w:rsidRPr="00054655">
        <w:rPr>
          <w:bCs/>
        </w:rPr>
        <w:t xml:space="preserve"> instruction will fit within this area</w:t>
      </w:r>
      <w:r w:rsidR="001102A7" w:rsidRPr="00054655">
        <w:rPr>
          <w:bCs/>
        </w:rPr>
        <w:t xml:space="preserve"> along with other</w:t>
      </w:r>
      <w:r w:rsidR="00B564A6" w:rsidRPr="00054655">
        <w:rPr>
          <w:bCs/>
        </w:rPr>
        <w:t xml:space="preserve"> related</w:t>
      </w:r>
      <w:r w:rsidR="001102A7" w:rsidRPr="00054655">
        <w:rPr>
          <w:bCs/>
        </w:rPr>
        <w:t xml:space="preserve"> activities</w:t>
      </w:r>
      <w:r w:rsidR="00157973">
        <w:rPr>
          <w:bCs/>
        </w:rPr>
        <w:t>.</w:t>
      </w:r>
    </w:p>
    <w:p w14:paraId="6B76041D" w14:textId="77777777" w:rsidR="00054655" w:rsidRPr="00C507C5" w:rsidRDefault="00054655" w:rsidP="00692380">
      <w:pPr>
        <w:tabs>
          <w:tab w:val="num" w:pos="360"/>
        </w:tabs>
        <w:spacing w:after="0" w:line="240" w:lineRule="auto"/>
        <w:ind w:left="720" w:right="-180"/>
      </w:pPr>
    </w:p>
    <w:p w14:paraId="76BFEA95" w14:textId="77777777" w:rsidR="00054655" w:rsidRPr="00054655" w:rsidRDefault="00FA5660" w:rsidP="0069238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-180"/>
      </w:pPr>
      <w:r w:rsidRPr="00054655">
        <w:rPr>
          <w:b/>
          <w:bCs/>
        </w:rPr>
        <w:t>Agriculture, Outdoor Teaching &amp; Learning</w:t>
      </w:r>
      <w:r w:rsidR="00FF076A" w:rsidRPr="00054655">
        <w:rPr>
          <w:b/>
          <w:bCs/>
        </w:rPr>
        <w:t xml:space="preserve">.  </w:t>
      </w:r>
    </w:p>
    <w:p w14:paraId="29CD484C" w14:textId="77777777" w:rsidR="00592183" w:rsidRPr="00592183" w:rsidRDefault="001102A7" w:rsidP="00516892">
      <w:pPr>
        <w:numPr>
          <w:ilvl w:val="0"/>
          <w:numId w:val="4"/>
        </w:numPr>
        <w:spacing w:after="0" w:line="240" w:lineRule="auto"/>
        <w:ind w:left="720" w:right="-180"/>
      </w:pPr>
      <w:r w:rsidRPr="00054655">
        <w:rPr>
          <w:bCs/>
        </w:rPr>
        <w:t xml:space="preserve">Cal Poly’s Learn by </w:t>
      </w:r>
      <w:proofErr w:type="gramStart"/>
      <w:r w:rsidRPr="00054655">
        <w:rPr>
          <w:bCs/>
        </w:rPr>
        <w:t>Doing</w:t>
      </w:r>
      <w:proofErr w:type="gramEnd"/>
      <w:r w:rsidRPr="00054655">
        <w:rPr>
          <w:bCs/>
        </w:rPr>
        <w:t xml:space="preserve"> approach to education requires outdoor fields, research and demonstration areas, and exhibit space.</w:t>
      </w:r>
    </w:p>
    <w:p w14:paraId="3D365614" w14:textId="3AB14AAD" w:rsidR="00054655" w:rsidRPr="00054655" w:rsidRDefault="00592183" w:rsidP="00516892">
      <w:pPr>
        <w:numPr>
          <w:ilvl w:val="0"/>
          <w:numId w:val="4"/>
        </w:numPr>
        <w:spacing w:after="0" w:line="240" w:lineRule="auto"/>
        <w:ind w:left="720" w:right="-180"/>
      </w:pPr>
      <w:r>
        <w:rPr>
          <w:bCs/>
        </w:rPr>
        <w:t>New ag</w:t>
      </w:r>
      <w:r w:rsidR="007A4DC7">
        <w:rPr>
          <w:bCs/>
        </w:rPr>
        <w:t>ricultural</w:t>
      </w:r>
      <w:r>
        <w:rPr>
          <w:bCs/>
        </w:rPr>
        <w:t xml:space="preserve"> facilities are anticipated including equine</w:t>
      </w:r>
      <w:r w:rsidR="00043C6F">
        <w:rPr>
          <w:bCs/>
        </w:rPr>
        <w:t>/</w:t>
      </w:r>
      <w:r>
        <w:rPr>
          <w:bCs/>
        </w:rPr>
        <w:t xml:space="preserve">agricultural </w:t>
      </w:r>
      <w:r w:rsidR="00043C6F">
        <w:rPr>
          <w:bCs/>
        </w:rPr>
        <w:t>pavilions</w:t>
      </w:r>
      <w:r>
        <w:rPr>
          <w:bCs/>
        </w:rPr>
        <w:t xml:space="preserve">, and a </w:t>
      </w:r>
      <w:r w:rsidR="0053276F">
        <w:rPr>
          <w:bCs/>
        </w:rPr>
        <w:t>fermentation sciences building</w:t>
      </w:r>
      <w:r>
        <w:rPr>
          <w:bCs/>
        </w:rPr>
        <w:t>.</w:t>
      </w:r>
      <w:bookmarkStart w:id="0" w:name="_GoBack"/>
      <w:bookmarkEnd w:id="0"/>
    </w:p>
    <w:p w14:paraId="263FE28A" w14:textId="0F12E2B3" w:rsidR="006920C2" w:rsidRPr="00054655" w:rsidRDefault="001102A7" w:rsidP="00516892">
      <w:pPr>
        <w:numPr>
          <w:ilvl w:val="0"/>
          <w:numId w:val="4"/>
        </w:numPr>
        <w:spacing w:after="0" w:line="240" w:lineRule="auto"/>
        <w:ind w:left="720" w:right="-180"/>
      </w:pPr>
      <w:r w:rsidRPr="00054655">
        <w:rPr>
          <w:bCs/>
        </w:rPr>
        <w:t xml:space="preserve">The Land Use Concept </w:t>
      </w:r>
      <w:r w:rsidR="00976D44">
        <w:rPr>
          <w:bCs/>
        </w:rPr>
        <w:t>m</w:t>
      </w:r>
      <w:r w:rsidR="00592183" w:rsidRPr="00054655">
        <w:rPr>
          <w:bCs/>
        </w:rPr>
        <w:t xml:space="preserve">aps </w:t>
      </w:r>
      <w:r w:rsidRPr="00054655">
        <w:rPr>
          <w:bCs/>
        </w:rPr>
        <w:t xml:space="preserve">show </w:t>
      </w:r>
      <w:r w:rsidR="00592183">
        <w:rPr>
          <w:bCs/>
        </w:rPr>
        <w:t xml:space="preserve">certain </w:t>
      </w:r>
      <w:r w:rsidRPr="00054655">
        <w:rPr>
          <w:bCs/>
        </w:rPr>
        <w:t xml:space="preserve">agricultural facilities </w:t>
      </w:r>
      <w:r w:rsidR="00592183">
        <w:rPr>
          <w:bCs/>
        </w:rPr>
        <w:t>being</w:t>
      </w:r>
      <w:r w:rsidRPr="00054655">
        <w:rPr>
          <w:bCs/>
        </w:rPr>
        <w:t xml:space="preserve"> relocated </w:t>
      </w:r>
      <w:r w:rsidR="00592183">
        <w:rPr>
          <w:bCs/>
        </w:rPr>
        <w:t>and</w:t>
      </w:r>
      <w:r w:rsidRPr="00054655">
        <w:rPr>
          <w:bCs/>
        </w:rPr>
        <w:t xml:space="preserve"> redeveloped.  These include a consolidated research and learning area for horticulture and crop science (including an expanded arboretum), </w:t>
      </w:r>
      <w:r w:rsidR="00592183">
        <w:rPr>
          <w:bCs/>
        </w:rPr>
        <w:t xml:space="preserve">the </w:t>
      </w:r>
      <w:r w:rsidRPr="00054655">
        <w:rPr>
          <w:bCs/>
        </w:rPr>
        <w:t>irri</w:t>
      </w:r>
      <w:r w:rsidR="00054655">
        <w:rPr>
          <w:bCs/>
        </w:rPr>
        <w:t xml:space="preserve">gation technology research site, </w:t>
      </w:r>
      <w:r w:rsidR="00592183">
        <w:rPr>
          <w:bCs/>
        </w:rPr>
        <w:t>an expanded veterinary facility, and an expanded</w:t>
      </w:r>
      <w:r w:rsidR="00F11D88" w:rsidRPr="00054655">
        <w:rPr>
          <w:bCs/>
        </w:rPr>
        <w:t xml:space="preserve"> farm store.</w:t>
      </w:r>
    </w:p>
    <w:p w14:paraId="2988CCE4" w14:textId="77777777" w:rsidR="00054655" w:rsidRPr="00C507C5" w:rsidRDefault="00054655" w:rsidP="00692380">
      <w:pPr>
        <w:spacing w:after="0" w:line="240" w:lineRule="auto"/>
        <w:ind w:left="900" w:right="-180"/>
      </w:pPr>
    </w:p>
    <w:p w14:paraId="5AB9CECA" w14:textId="77777777" w:rsidR="00054655" w:rsidRPr="00054655" w:rsidRDefault="00FA5660" w:rsidP="00692380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360" w:right="-180"/>
      </w:pPr>
      <w:r w:rsidRPr="00054655">
        <w:rPr>
          <w:b/>
          <w:bCs/>
        </w:rPr>
        <w:t>Residential Neighborhoods</w:t>
      </w:r>
      <w:r w:rsidR="00FF076A" w:rsidRPr="00054655">
        <w:rPr>
          <w:b/>
          <w:bCs/>
        </w:rPr>
        <w:t>.</w:t>
      </w:r>
      <w:r w:rsidR="00FF076A" w:rsidRPr="00054655">
        <w:rPr>
          <w:bCs/>
        </w:rPr>
        <w:t xml:space="preserve">  </w:t>
      </w:r>
    </w:p>
    <w:p w14:paraId="06E3427E" w14:textId="00D2EF5D" w:rsidR="00054655" w:rsidRPr="00054655" w:rsidRDefault="00F71672" w:rsidP="00725671">
      <w:pPr>
        <w:numPr>
          <w:ilvl w:val="0"/>
          <w:numId w:val="5"/>
        </w:numPr>
        <w:spacing w:after="0" w:line="240" w:lineRule="auto"/>
        <w:ind w:left="720" w:right="-180"/>
      </w:pPr>
      <w:r>
        <w:rPr>
          <w:bCs/>
        </w:rPr>
        <w:t>Providing</w:t>
      </w:r>
      <w:r w:rsidR="005A177A" w:rsidRPr="00054655">
        <w:rPr>
          <w:bCs/>
        </w:rPr>
        <w:t xml:space="preserve"> housing for more students to live on campus is a central goal of the master plan.  </w:t>
      </w:r>
    </w:p>
    <w:p w14:paraId="1F1E5156" w14:textId="77777777" w:rsidR="00072BA2" w:rsidRPr="00072BA2" w:rsidRDefault="005A177A" w:rsidP="00725671">
      <w:pPr>
        <w:numPr>
          <w:ilvl w:val="0"/>
          <w:numId w:val="5"/>
        </w:numPr>
        <w:spacing w:after="0" w:line="240" w:lineRule="auto"/>
        <w:ind w:left="720" w:right="-180"/>
      </w:pPr>
      <w:r w:rsidRPr="00054655">
        <w:rPr>
          <w:bCs/>
        </w:rPr>
        <w:t>The University envisions residential neighborhoods that cater to the needs of different student</w:t>
      </w:r>
      <w:r w:rsidR="00072BA2">
        <w:rPr>
          <w:bCs/>
        </w:rPr>
        <w:t>s.</w:t>
      </w:r>
    </w:p>
    <w:p w14:paraId="42736A0C" w14:textId="6B8236E7" w:rsidR="00157973" w:rsidRPr="00157973" w:rsidRDefault="005A177A" w:rsidP="00725671">
      <w:pPr>
        <w:numPr>
          <w:ilvl w:val="0"/>
          <w:numId w:val="5"/>
        </w:numPr>
        <w:spacing w:after="0" w:line="240" w:lineRule="auto"/>
        <w:ind w:left="720" w:right="-180"/>
      </w:pPr>
      <w:r w:rsidRPr="00054655">
        <w:rPr>
          <w:bCs/>
        </w:rPr>
        <w:t>The neighborhood</w:t>
      </w:r>
      <w:r w:rsidR="00DB6048">
        <w:rPr>
          <w:bCs/>
        </w:rPr>
        <w:t xml:space="preserve"> for first-year undergraduates</w:t>
      </w:r>
      <w:r w:rsidRPr="00054655">
        <w:rPr>
          <w:bCs/>
        </w:rPr>
        <w:t xml:space="preserve"> is located in the southeaste</w:t>
      </w:r>
      <w:r w:rsidR="00072BA2">
        <w:rPr>
          <w:bCs/>
        </w:rPr>
        <w:t>rn</w:t>
      </w:r>
      <w:r w:rsidRPr="00054655">
        <w:rPr>
          <w:bCs/>
        </w:rPr>
        <w:t xml:space="preserve"> section of campus</w:t>
      </w:r>
      <w:r w:rsidR="00072BA2">
        <w:rPr>
          <w:bCs/>
        </w:rPr>
        <w:t>, accessible to dining facilities</w:t>
      </w:r>
      <w:r w:rsidRPr="00054655">
        <w:rPr>
          <w:bCs/>
        </w:rPr>
        <w:t xml:space="preserve"> (outlined by yellow dashed lines on t</w:t>
      </w:r>
      <w:r w:rsidR="00C94A4C" w:rsidRPr="00054655">
        <w:rPr>
          <w:bCs/>
        </w:rPr>
        <w:t xml:space="preserve">he Land Use Concept maps). </w:t>
      </w:r>
    </w:p>
    <w:p w14:paraId="7BE296BB" w14:textId="16866460" w:rsidR="006920C2" w:rsidRPr="0057661D" w:rsidRDefault="00157973" w:rsidP="00725671">
      <w:pPr>
        <w:numPr>
          <w:ilvl w:val="0"/>
          <w:numId w:val="5"/>
        </w:numPr>
        <w:spacing w:after="0" w:line="240" w:lineRule="auto"/>
        <w:ind w:left="720" w:right="-180"/>
      </w:pPr>
      <w:r>
        <w:rPr>
          <w:bCs/>
        </w:rPr>
        <w:t xml:space="preserve">The Land Use Concept </w:t>
      </w:r>
      <w:r w:rsidR="00976D44">
        <w:rPr>
          <w:bCs/>
        </w:rPr>
        <w:t xml:space="preserve">maps </w:t>
      </w:r>
      <w:r>
        <w:rPr>
          <w:bCs/>
        </w:rPr>
        <w:t>show several different possible locations for s</w:t>
      </w:r>
      <w:r w:rsidR="005A177A" w:rsidRPr="00054655">
        <w:rPr>
          <w:bCs/>
        </w:rPr>
        <w:t>uites and apartments for sophomores and upper division students clustered in neighborhoods wrapping the core</w:t>
      </w:r>
      <w:r w:rsidR="007A4DC7">
        <w:rPr>
          <w:bCs/>
        </w:rPr>
        <w:t>,</w:t>
      </w:r>
      <w:r w:rsidR="005A177A" w:rsidRPr="00054655">
        <w:rPr>
          <w:bCs/>
        </w:rPr>
        <w:t xml:space="preserve"> </w:t>
      </w:r>
      <w:r w:rsidR="00592183">
        <w:rPr>
          <w:bCs/>
        </w:rPr>
        <w:t>including sites</w:t>
      </w:r>
      <w:r w:rsidR="005A177A" w:rsidRPr="00054655">
        <w:rPr>
          <w:bCs/>
        </w:rPr>
        <w:t xml:space="preserve"> north of </w:t>
      </w:r>
      <w:proofErr w:type="spellStart"/>
      <w:r w:rsidR="005A177A" w:rsidRPr="00054655">
        <w:rPr>
          <w:bCs/>
        </w:rPr>
        <w:t>Brizzolara</w:t>
      </w:r>
      <w:proofErr w:type="spellEnd"/>
      <w:r w:rsidR="005A177A" w:rsidRPr="00054655">
        <w:rPr>
          <w:bCs/>
        </w:rPr>
        <w:t xml:space="preserve"> Creek</w:t>
      </w:r>
      <w:r w:rsidR="00072BA2">
        <w:rPr>
          <w:bCs/>
        </w:rPr>
        <w:t xml:space="preserve"> (colored bright blue)</w:t>
      </w:r>
      <w:r w:rsidR="005A177A" w:rsidRPr="00054655">
        <w:rPr>
          <w:bCs/>
        </w:rPr>
        <w:t xml:space="preserve">. </w:t>
      </w:r>
    </w:p>
    <w:p w14:paraId="50B68162" w14:textId="77777777" w:rsidR="0004318B" w:rsidRPr="0004318B" w:rsidRDefault="0057661D" w:rsidP="00725671">
      <w:pPr>
        <w:numPr>
          <w:ilvl w:val="0"/>
          <w:numId w:val="5"/>
        </w:numPr>
        <w:spacing w:after="0" w:line="240" w:lineRule="auto"/>
        <w:ind w:left="720" w:right="-180"/>
      </w:pPr>
      <w:r>
        <w:rPr>
          <w:bCs/>
        </w:rPr>
        <w:t>Specialty housing</w:t>
      </w:r>
      <w:r w:rsidR="00DB6048">
        <w:rPr>
          <w:bCs/>
        </w:rPr>
        <w:t xml:space="preserve"> for fraternities, sororities and other student organizations could also be located north of </w:t>
      </w:r>
      <w:proofErr w:type="spellStart"/>
      <w:r w:rsidR="00DB6048">
        <w:rPr>
          <w:bCs/>
        </w:rPr>
        <w:t>Brizzolara</w:t>
      </w:r>
      <w:proofErr w:type="spellEnd"/>
      <w:r w:rsidR="00DB6048">
        <w:rPr>
          <w:bCs/>
        </w:rPr>
        <w:t xml:space="preserve"> Creek.</w:t>
      </w:r>
      <w:r w:rsidR="0004318B">
        <w:rPr>
          <w:bCs/>
        </w:rPr>
        <w:t xml:space="preserve">  </w:t>
      </w:r>
    </w:p>
    <w:p w14:paraId="1B90BE90" w14:textId="4CAAEA05" w:rsidR="0057661D" w:rsidRPr="00054655" w:rsidRDefault="0004318B" w:rsidP="00725671">
      <w:pPr>
        <w:numPr>
          <w:ilvl w:val="0"/>
          <w:numId w:val="5"/>
        </w:numPr>
        <w:spacing w:after="0" w:line="240" w:lineRule="auto"/>
        <w:ind w:left="720" w:right="-180"/>
      </w:pPr>
      <w:r>
        <w:rPr>
          <w:bCs/>
        </w:rPr>
        <w:t>The maps also show some potential site</w:t>
      </w:r>
      <w:r w:rsidR="00072BA2">
        <w:rPr>
          <w:bCs/>
        </w:rPr>
        <w:t>s (in light blue)</w:t>
      </w:r>
      <w:r>
        <w:rPr>
          <w:bCs/>
        </w:rPr>
        <w:t xml:space="preserve"> for </w:t>
      </w:r>
      <w:r w:rsidR="000C2A2A">
        <w:rPr>
          <w:bCs/>
        </w:rPr>
        <w:t xml:space="preserve">lower density </w:t>
      </w:r>
      <w:r>
        <w:rPr>
          <w:bCs/>
        </w:rPr>
        <w:t>faculty/staff/family housing, which is under consideration in order to provide more affordable housing for employees.</w:t>
      </w:r>
    </w:p>
    <w:p w14:paraId="00290027" w14:textId="77777777" w:rsidR="00054655" w:rsidRPr="000D65D4" w:rsidRDefault="00054655" w:rsidP="00692380">
      <w:pPr>
        <w:spacing w:after="0" w:line="240" w:lineRule="auto"/>
        <w:ind w:left="720" w:right="-180"/>
      </w:pPr>
    </w:p>
    <w:p w14:paraId="23D12871" w14:textId="27E39921" w:rsidR="00646479" w:rsidRPr="00646479" w:rsidRDefault="00FA5660" w:rsidP="00692380">
      <w:pPr>
        <w:numPr>
          <w:ilvl w:val="0"/>
          <w:numId w:val="1"/>
        </w:numPr>
        <w:tabs>
          <w:tab w:val="clear" w:pos="1440"/>
          <w:tab w:val="num" w:pos="360"/>
        </w:tabs>
        <w:spacing w:after="0"/>
        <w:ind w:left="360" w:right="-180"/>
      </w:pPr>
      <w:r w:rsidRPr="00C507C5">
        <w:rPr>
          <w:b/>
          <w:bCs/>
        </w:rPr>
        <w:t>Student Support &amp; Activity</w:t>
      </w:r>
      <w:r w:rsidR="00FF076A">
        <w:rPr>
          <w:b/>
          <w:bCs/>
        </w:rPr>
        <w:t>.</w:t>
      </w:r>
      <w:r w:rsidR="00FF076A">
        <w:rPr>
          <w:bCs/>
        </w:rPr>
        <w:t xml:space="preserve"> </w:t>
      </w:r>
    </w:p>
    <w:p w14:paraId="0D8FEE27" w14:textId="6217EB6C" w:rsidR="00646479" w:rsidRPr="00646479" w:rsidRDefault="00646479" w:rsidP="00725671">
      <w:pPr>
        <w:numPr>
          <w:ilvl w:val="0"/>
          <w:numId w:val="17"/>
        </w:numPr>
        <w:spacing w:after="0" w:line="240" w:lineRule="auto"/>
        <w:ind w:left="720" w:right="-180"/>
      </w:pPr>
      <w:r>
        <w:rPr>
          <w:bCs/>
        </w:rPr>
        <w:t xml:space="preserve">The Campus Core concept map shows how Cal Poly can provide more space for student activities and support services by adding a Creekside Village at Via Carta </w:t>
      </w:r>
      <w:r w:rsidR="00592183">
        <w:rPr>
          <w:bCs/>
        </w:rPr>
        <w:t xml:space="preserve">near </w:t>
      </w:r>
      <w:proofErr w:type="spellStart"/>
      <w:r>
        <w:rPr>
          <w:bCs/>
        </w:rPr>
        <w:t>Brizzolara</w:t>
      </w:r>
      <w:proofErr w:type="spellEnd"/>
      <w:r>
        <w:rPr>
          <w:bCs/>
        </w:rPr>
        <w:t xml:space="preserve"> Creek.</w:t>
      </w:r>
    </w:p>
    <w:p w14:paraId="7212BFAD" w14:textId="49CA8973" w:rsidR="00F71672" w:rsidRPr="00C507C5" w:rsidRDefault="00592183" w:rsidP="00725671">
      <w:pPr>
        <w:numPr>
          <w:ilvl w:val="0"/>
          <w:numId w:val="17"/>
        </w:numPr>
        <w:spacing w:after="0" w:line="240" w:lineRule="auto"/>
        <w:ind w:left="720" w:right="-180"/>
      </w:pPr>
      <w:r>
        <w:rPr>
          <w:bCs/>
        </w:rPr>
        <w:t xml:space="preserve">Although not illustrated at this scale, student </w:t>
      </w:r>
      <w:r w:rsidR="00646479">
        <w:rPr>
          <w:bCs/>
        </w:rPr>
        <w:t>and staff services</w:t>
      </w:r>
      <w:r w:rsidR="00157973">
        <w:rPr>
          <w:bCs/>
        </w:rPr>
        <w:t xml:space="preserve"> can be built</w:t>
      </w:r>
      <w:r w:rsidR="00646479">
        <w:rPr>
          <w:bCs/>
        </w:rPr>
        <w:t xml:space="preserve"> into the ground level of new buildings, particularly along major pedestrian routes on campus.  </w:t>
      </w:r>
    </w:p>
    <w:p w14:paraId="5A9126F2" w14:textId="77777777" w:rsidR="00646479" w:rsidRPr="00646479" w:rsidRDefault="00646479" w:rsidP="00692380">
      <w:pPr>
        <w:spacing w:after="0" w:line="240" w:lineRule="auto"/>
        <w:ind w:left="720" w:right="-180"/>
      </w:pPr>
    </w:p>
    <w:p w14:paraId="6EE0D5C6" w14:textId="77777777" w:rsidR="00F71672" w:rsidRPr="00F71672" w:rsidRDefault="00FA5660" w:rsidP="00692380">
      <w:pPr>
        <w:pStyle w:val="ListParagraph"/>
        <w:numPr>
          <w:ilvl w:val="0"/>
          <w:numId w:val="18"/>
        </w:numPr>
        <w:spacing w:after="0" w:line="240" w:lineRule="auto"/>
        <w:ind w:left="360" w:right="-180"/>
      </w:pPr>
      <w:r w:rsidRPr="00646479">
        <w:rPr>
          <w:b/>
          <w:bCs/>
        </w:rPr>
        <w:t>Recreation – Indoor &amp; Outdoor</w:t>
      </w:r>
      <w:r w:rsidR="00FF076A" w:rsidRPr="00646479">
        <w:rPr>
          <w:b/>
          <w:bCs/>
        </w:rPr>
        <w:t>.</w:t>
      </w:r>
      <w:r w:rsidR="003B0753" w:rsidRPr="00646479">
        <w:rPr>
          <w:bCs/>
        </w:rPr>
        <w:t xml:space="preserve"> </w:t>
      </w:r>
    </w:p>
    <w:p w14:paraId="1E1BC2A8" w14:textId="580B8B6E" w:rsidR="00646479" w:rsidRPr="00646479" w:rsidRDefault="00157973" w:rsidP="00516892">
      <w:pPr>
        <w:numPr>
          <w:ilvl w:val="0"/>
          <w:numId w:val="19"/>
        </w:numPr>
        <w:spacing w:after="0" w:line="240" w:lineRule="auto"/>
        <w:ind w:left="720" w:right="-630"/>
      </w:pPr>
      <w:r>
        <w:rPr>
          <w:bCs/>
        </w:rPr>
        <w:t xml:space="preserve">The campus needs </w:t>
      </w:r>
      <w:r w:rsidR="003B0753">
        <w:rPr>
          <w:bCs/>
        </w:rPr>
        <w:t xml:space="preserve">more outdoor recreation space for all students, particularly those living on campus.  </w:t>
      </w:r>
    </w:p>
    <w:p w14:paraId="5C40DC1C" w14:textId="195DBC74" w:rsidR="00976D44" w:rsidRPr="00976D44" w:rsidRDefault="00FA5660" w:rsidP="00725671">
      <w:pPr>
        <w:numPr>
          <w:ilvl w:val="0"/>
          <w:numId w:val="19"/>
        </w:numPr>
        <w:spacing w:after="0" w:line="240" w:lineRule="auto"/>
        <w:ind w:left="720" w:right="-180"/>
      </w:pPr>
      <w:r>
        <w:rPr>
          <w:bCs/>
        </w:rPr>
        <w:t>F</w:t>
      </w:r>
      <w:r w:rsidR="003B0753">
        <w:rPr>
          <w:bCs/>
        </w:rPr>
        <w:t>uture residential neighborhood</w:t>
      </w:r>
      <w:r>
        <w:rPr>
          <w:bCs/>
        </w:rPr>
        <w:t>s</w:t>
      </w:r>
      <w:r w:rsidR="003B0753">
        <w:rPr>
          <w:bCs/>
        </w:rPr>
        <w:t xml:space="preserve"> include informal recreation areas.  Additional indoor recreation and wellness facilities </w:t>
      </w:r>
      <w:r w:rsidR="00FB6D63">
        <w:rPr>
          <w:bCs/>
        </w:rPr>
        <w:t xml:space="preserve">could be located </w:t>
      </w:r>
      <w:r w:rsidR="00592183">
        <w:rPr>
          <w:bCs/>
        </w:rPr>
        <w:t>n</w:t>
      </w:r>
      <w:r w:rsidR="00976D44">
        <w:rPr>
          <w:bCs/>
        </w:rPr>
        <w:t xml:space="preserve">orth of </w:t>
      </w:r>
      <w:proofErr w:type="spellStart"/>
      <w:r w:rsidR="00976D44">
        <w:rPr>
          <w:bCs/>
        </w:rPr>
        <w:t>Brizzolara</w:t>
      </w:r>
      <w:proofErr w:type="spellEnd"/>
      <w:r w:rsidR="00976D44">
        <w:rPr>
          <w:bCs/>
        </w:rPr>
        <w:t xml:space="preserve"> Creek near the new residential neighborhoods</w:t>
      </w:r>
      <w:r w:rsidR="003B0753">
        <w:rPr>
          <w:bCs/>
        </w:rPr>
        <w:t>.</w:t>
      </w:r>
    </w:p>
    <w:p w14:paraId="410EDBCB" w14:textId="7D812A22" w:rsidR="00F71672" w:rsidRPr="00B212BB" w:rsidRDefault="00976D44" w:rsidP="00725671">
      <w:pPr>
        <w:numPr>
          <w:ilvl w:val="0"/>
          <w:numId w:val="19"/>
        </w:numPr>
        <w:spacing w:after="0" w:line="240" w:lineRule="auto"/>
        <w:ind w:left="720" w:right="-180"/>
      </w:pPr>
      <w:r w:rsidRPr="0004318B">
        <w:rPr>
          <w:bCs/>
        </w:rPr>
        <w:lastRenderedPageBreak/>
        <w:t>The Land Use Concept maps show new uses on portions of existing recreation fields.</w:t>
      </w:r>
      <w:r w:rsidR="0004318B" w:rsidRPr="0004318B">
        <w:rPr>
          <w:bCs/>
        </w:rPr>
        <w:t xml:space="preserve">  </w:t>
      </w:r>
      <w:r w:rsidRPr="0004318B">
        <w:rPr>
          <w:bCs/>
        </w:rPr>
        <w:t xml:space="preserve">Thus, </w:t>
      </w:r>
      <w:r w:rsidR="00072BA2">
        <w:rPr>
          <w:bCs/>
        </w:rPr>
        <w:t xml:space="preserve">the </w:t>
      </w:r>
      <w:r w:rsidR="003B0753" w:rsidRPr="0004318B">
        <w:rPr>
          <w:bCs/>
        </w:rPr>
        <w:t>Land Use Concept maps</w:t>
      </w:r>
      <w:r w:rsidRPr="0004318B">
        <w:rPr>
          <w:bCs/>
        </w:rPr>
        <w:t xml:space="preserve"> also</w:t>
      </w:r>
      <w:r w:rsidR="003B0753" w:rsidRPr="0004318B">
        <w:rPr>
          <w:bCs/>
        </w:rPr>
        <w:t xml:space="preserve"> indicate additional outdoor recreation areas on the northwest side of the RR tracks </w:t>
      </w:r>
      <w:r w:rsidRPr="0004318B">
        <w:rPr>
          <w:bCs/>
        </w:rPr>
        <w:t xml:space="preserve">to replace those fields and </w:t>
      </w:r>
      <w:r w:rsidR="003B0753" w:rsidRPr="0004318B">
        <w:rPr>
          <w:bCs/>
        </w:rPr>
        <w:t xml:space="preserve">to serve </w:t>
      </w:r>
      <w:r w:rsidRPr="0004318B">
        <w:rPr>
          <w:bCs/>
        </w:rPr>
        <w:t xml:space="preserve">the </w:t>
      </w:r>
      <w:r w:rsidR="003B0753" w:rsidRPr="0004318B">
        <w:rPr>
          <w:bCs/>
        </w:rPr>
        <w:t>new student neighborhoods</w:t>
      </w:r>
    </w:p>
    <w:p w14:paraId="50FA9E2E" w14:textId="77777777" w:rsidR="00B212BB" w:rsidRDefault="00B212BB" w:rsidP="00692380">
      <w:pPr>
        <w:spacing w:after="0" w:line="240" w:lineRule="auto"/>
        <w:ind w:left="180" w:right="-180"/>
      </w:pPr>
    </w:p>
    <w:p w14:paraId="793E142A" w14:textId="77777777" w:rsidR="00F71672" w:rsidRDefault="00FA5660" w:rsidP="00692380">
      <w:pPr>
        <w:numPr>
          <w:ilvl w:val="0"/>
          <w:numId w:val="9"/>
        </w:numPr>
        <w:spacing w:after="0" w:line="240" w:lineRule="auto"/>
        <w:ind w:left="360" w:right="-180"/>
      </w:pPr>
      <w:r w:rsidRPr="00C507C5">
        <w:rPr>
          <w:b/>
          <w:bCs/>
        </w:rPr>
        <w:t>Athletic Facilities</w:t>
      </w:r>
      <w:r w:rsidR="00FF076A">
        <w:rPr>
          <w:b/>
          <w:bCs/>
        </w:rPr>
        <w:t>.</w:t>
      </w:r>
      <w:r w:rsidR="003B0753">
        <w:rPr>
          <w:bCs/>
        </w:rPr>
        <w:t xml:space="preserve">  </w:t>
      </w:r>
    </w:p>
    <w:p w14:paraId="71EA5D39" w14:textId="77777777" w:rsidR="00B212BB" w:rsidRDefault="00FB6D63" w:rsidP="00725671">
      <w:pPr>
        <w:numPr>
          <w:ilvl w:val="0"/>
          <w:numId w:val="10"/>
        </w:numPr>
        <w:spacing w:after="0" w:line="240" w:lineRule="auto"/>
        <w:ind w:left="720" w:right="-180"/>
      </w:pPr>
      <w:proofErr w:type="spellStart"/>
      <w:r w:rsidRPr="00F71672">
        <w:rPr>
          <w:bCs/>
        </w:rPr>
        <w:t>Spanos</w:t>
      </w:r>
      <w:proofErr w:type="spellEnd"/>
      <w:r w:rsidRPr="00F71672">
        <w:rPr>
          <w:bCs/>
        </w:rPr>
        <w:t xml:space="preserve"> Stadium</w:t>
      </w:r>
      <w:r w:rsidR="00FA5660" w:rsidRPr="00F71672">
        <w:rPr>
          <w:bCs/>
        </w:rPr>
        <w:t xml:space="preserve"> would be expanded</w:t>
      </w:r>
      <w:r w:rsidRPr="00F71672">
        <w:rPr>
          <w:bCs/>
        </w:rPr>
        <w:t xml:space="preserve"> to modernize this facility and seat more fans. </w:t>
      </w:r>
    </w:p>
    <w:p w14:paraId="0DA8EF0D" w14:textId="47074CB7" w:rsidR="006920C2" w:rsidRPr="00646479" w:rsidRDefault="00FB6D63" w:rsidP="00725671">
      <w:pPr>
        <w:numPr>
          <w:ilvl w:val="0"/>
          <w:numId w:val="10"/>
        </w:numPr>
        <w:spacing w:after="0" w:line="240" w:lineRule="auto"/>
        <w:ind w:left="720" w:right="-180"/>
      </w:pPr>
      <w:r w:rsidRPr="00B212BB">
        <w:rPr>
          <w:bCs/>
        </w:rPr>
        <w:t xml:space="preserve">The Land Use Concept maps show several options for the activities in Mott Gym – ranging from renovation on site to replacement in conjunction with a new arena north of </w:t>
      </w:r>
      <w:proofErr w:type="spellStart"/>
      <w:r w:rsidRPr="00B212BB">
        <w:rPr>
          <w:bCs/>
        </w:rPr>
        <w:t>Brizzolara</w:t>
      </w:r>
      <w:proofErr w:type="spellEnd"/>
      <w:r w:rsidRPr="00B212BB">
        <w:rPr>
          <w:bCs/>
        </w:rPr>
        <w:t xml:space="preserve"> Creek.</w:t>
      </w:r>
    </w:p>
    <w:p w14:paraId="7A07DDCA" w14:textId="77777777" w:rsidR="00646479" w:rsidRPr="00C507C5" w:rsidRDefault="00646479" w:rsidP="00692380">
      <w:pPr>
        <w:spacing w:after="0" w:line="240" w:lineRule="auto"/>
        <w:ind w:left="187" w:right="-180"/>
      </w:pPr>
    </w:p>
    <w:p w14:paraId="380E736D" w14:textId="12711123" w:rsidR="00B212BB" w:rsidRPr="00B212BB" w:rsidRDefault="00FA5660" w:rsidP="00692380">
      <w:pPr>
        <w:numPr>
          <w:ilvl w:val="0"/>
          <w:numId w:val="11"/>
        </w:numPr>
        <w:spacing w:after="0" w:line="240" w:lineRule="auto"/>
        <w:ind w:left="360" w:right="-180"/>
      </w:pPr>
      <w:r w:rsidRPr="00C507C5">
        <w:rPr>
          <w:b/>
          <w:bCs/>
        </w:rPr>
        <w:t>Circulation Hierarchy</w:t>
      </w:r>
      <w:r w:rsidR="002E7EFB">
        <w:rPr>
          <w:b/>
          <w:bCs/>
        </w:rPr>
        <w:t xml:space="preserve"> – Pedestrians, Bikes, Transit, Cars</w:t>
      </w:r>
      <w:r w:rsidR="00FF076A">
        <w:rPr>
          <w:b/>
          <w:bCs/>
        </w:rPr>
        <w:t>.</w:t>
      </w:r>
      <w:r w:rsidR="00157973">
        <w:rPr>
          <w:bCs/>
        </w:rPr>
        <w:t xml:space="preserve">  </w:t>
      </w:r>
    </w:p>
    <w:p w14:paraId="39933DBA" w14:textId="49F23BC1" w:rsidR="00B212BB" w:rsidRPr="00B212BB" w:rsidRDefault="00B212BB" w:rsidP="00725671">
      <w:pPr>
        <w:numPr>
          <w:ilvl w:val="0"/>
          <w:numId w:val="12"/>
        </w:numPr>
        <w:spacing w:after="0" w:line="240" w:lineRule="auto"/>
        <w:ind w:left="720" w:right="-180"/>
      </w:pPr>
      <w:r>
        <w:rPr>
          <w:bCs/>
        </w:rPr>
        <w:t>T</w:t>
      </w:r>
      <w:r w:rsidR="00FB6D63">
        <w:rPr>
          <w:bCs/>
        </w:rPr>
        <w:t xml:space="preserve">he three Circulation concept maps </w:t>
      </w:r>
      <w:r w:rsidR="00976D44">
        <w:rPr>
          <w:bCs/>
        </w:rPr>
        <w:t xml:space="preserve">as well as the Campus Core map </w:t>
      </w:r>
      <w:r w:rsidR="00FB6D63">
        <w:rPr>
          <w:bCs/>
        </w:rPr>
        <w:t xml:space="preserve">show how the campus </w:t>
      </w:r>
      <w:r w:rsidR="00976D44">
        <w:rPr>
          <w:bCs/>
        </w:rPr>
        <w:t xml:space="preserve">could </w:t>
      </w:r>
      <w:r w:rsidR="002E7EFB">
        <w:rPr>
          <w:bCs/>
        </w:rPr>
        <w:t xml:space="preserve">better emphasize </w:t>
      </w:r>
      <w:r w:rsidR="00FB6D63">
        <w:rPr>
          <w:bCs/>
        </w:rPr>
        <w:t xml:space="preserve">pedestrians and bicyclists, provide transit access, and </w:t>
      </w:r>
      <w:r w:rsidR="00072BA2">
        <w:rPr>
          <w:bCs/>
        </w:rPr>
        <w:t>manage</w:t>
      </w:r>
      <w:r w:rsidR="00FB6D63">
        <w:rPr>
          <w:bCs/>
        </w:rPr>
        <w:t xml:space="preserve"> vehicular traffic </w:t>
      </w:r>
      <w:r w:rsidR="00BB0242">
        <w:rPr>
          <w:bCs/>
        </w:rPr>
        <w:t>in</w:t>
      </w:r>
      <w:r w:rsidR="00FB6D63">
        <w:rPr>
          <w:bCs/>
        </w:rPr>
        <w:t xml:space="preserve"> the </w:t>
      </w:r>
      <w:r w:rsidR="006401E6">
        <w:rPr>
          <w:bCs/>
        </w:rPr>
        <w:t>Campus C</w:t>
      </w:r>
      <w:r w:rsidR="00976D44">
        <w:rPr>
          <w:bCs/>
        </w:rPr>
        <w:t>ore</w:t>
      </w:r>
      <w:r w:rsidR="00FB6D63">
        <w:rPr>
          <w:bCs/>
        </w:rPr>
        <w:t>.</w:t>
      </w:r>
    </w:p>
    <w:p w14:paraId="24E788A3" w14:textId="5DD03E66" w:rsidR="006920C2" w:rsidRPr="00D66AA8" w:rsidRDefault="002E7EFB" w:rsidP="00725671">
      <w:pPr>
        <w:numPr>
          <w:ilvl w:val="0"/>
          <w:numId w:val="12"/>
        </w:numPr>
        <w:spacing w:after="0" w:line="240" w:lineRule="auto"/>
        <w:ind w:left="720" w:right="-180"/>
      </w:pPr>
      <w:r>
        <w:rPr>
          <w:bCs/>
        </w:rPr>
        <w:t xml:space="preserve">New parking </w:t>
      </w:r>
      <w:r w:rsidR="00BB0242">
        <w:rPr>
          <w:bCs/>
        </w:rPr>
        <w:t xml:space="preserve">structures </w:t>
      </w:r>
      <w:r w:rsidR="00646479">
        <w:rPr>
          <w:bCs/>
        </w:rPr>
        <w:t>are</w:t>
      </w:r>
      <w:r>
        <w:rPr>
          <w:bCs/>
        </w:rPr>
        <w:t xml:space="preserve"> shown</w:t>
      </w:r>
      <w:r w:rsidR="00646479">
        <w:rPr>
          <w:bCs/>
        </w:rPr>
        <w:t xml:space="preserve"> </w:t>
      </w:r>
      <w:r w:rsidR="00BB0242">
        <w:rPr>
          <w:bCs/>
        </w:rPr>
        <w:t xml:space="preserve">near major access routes </w:t>
      </w:r>
      <w:r w:rsidR="00976D44">
        <w:rPr>
          <w:bCs/>
        </w:rPr>
        <w:t>(near Highland/Mt. Bishop Road and California) as well as near venues that attract large numbers of visitors</w:t>
      </w:r>
      <w:r w:rsidR="00072BA2">
        <w:rPr>
          <w:bCs/>
        </w:rPr>
        <w:t>,</w:t>
      </w:r>
      <w:r w:rsidR="00976D44">
        <w:rPr>
          <w:bCs/>
        </w:rPr>
        <w:t xml:space="preserve"> such as the b</w:t>
      </w:r>
      <w:r>
        <w:rPr>
          <w:bCs/>
        </w:rPr>
        <w:t>aseball and softball stadiums,</w:t>
      </w:r>
      <w:r w:rsidR="00976D44">
        <w:rPr>
          <w:bCs/>
        </w:rPr>
        <w:t xml:space="preserve"> the new equine/ag pavilions and </w:t>
      </w:r>
      <w:r w:rsidR="007A4DC7">
        <w:rPr>
          <w:bCs/>
        </w:rPr>
        <w:t xml:space="preserve">an </w:t>
      </w:r>
      <w:r w:rsidR="00976D44">
        <w:rPr>
          <w:bCs/>
        </w:rPr>
        <w:t>arena</w:t>
      </w:r>
      <w:r w:rsidR="00646479">
        <w:rPr>
          <w:bCs/>
        </w:rPr>
        <w:t>.</w:t>
      </w:r>
    </w:p>
    <w:p w14:paraId="7911023A" w14:textId="53DB4409" w:rsidR="00D66AA8" w:rsidRPr="00157973" w:rsidRDefault="00D66AA8" w:rsidP="00725671">
      <w:pPr>
        <w:numPr>
          <w:ilvl w:val="0"/>
          <w:numId w:val="12"/>
        </w:numPr>
        <w:spacing w:after="0" w:line="240" w:lineRule="auto"/>
        <w:ind w:left="720" w:right="-180"/>
      </w:pPr>
      <w:r>
        <w:rPr>
          <w:bCs/>
        </w:rPr>
        <w:t>Although not illustrated at this scale, a shuttle-type system may be necessary to provide access from parking structures to the core.</w:t>
      </w:r>
    </w:p>
    <w:p w14:paraId="40D6A5BA" w14:textId="5A36814C" w:rsidR="00157973" w:rsidRPr="00157973" w:rsidRDefault="00157973" w:rsidP="00725671">
      <w:pPr>
        <w:numPr>
          <w:ilvl w:val="0"/>
          <w:numId w:val="12"/>
        </w:numPr>
        <w:spacing w:after="0" w:line="240" w:lineRule="auto"/>
        <w:ind w:left="720" w:right="-180"/>
      </w:pPr>
      <w:r>
        <w:rPr>
          <w:bCs/>
        </w:rPr>
        <w:t xml:space="preserve">Major differences in </w:t>
      </w:r>
      <w:r w:rsidR="00072BA2">
        <w:rPr>
          <w:bCs/>
        </w:rPr>
        <w:t>the three C</w:t>
      </w:r>
      <w:r>
        <w:rPr>
          <w:bCs/>
        </w:rPr>
        <w:t>irculatio</w:t>
      </w:r>
      <w:r w:rsidR="00072BA2">
        <w:rPr>
          <w:bCs/>
        </w:rPr>
        <w:t>n concepts are the location of</w:t>
      </w:r>
      <w:r>
        <w:rPr>
          <w:bCs/>
        </w:rPr>
        <w:t xml:space="preserve"> new grade-separated RR track crossing</w:t>
      </w:r>
      <w:r w:rsidR="00D66AA8">
        <w:rPr>
          <w:bCs/>
        </w:rPr>
        <w:t>s</w:t>
      </w:r>
      <w:r>
        <w:rPr>
          <w:bCs/>
        </w:rPr>
        <w:t xml:space="preserve"> and the extent to which vehicular access</w:t>
      </w:r>
      <w:r w:rsidR="006401E6">
        <w:rPr>
          <w:bCs/>
        </w:rPr>
        <w:t xml:space="preserve"> is permitted</w:t>
      </w:r>
      <w:r>
        <w:rPr>
          <w:bCs/>
        </w:rPr>
        <w:t xml:space="preserve"> on interior</w:t>
      </w:r>
      <w:r w:rsidR="006401E6">
        <w:rPr>
          <w:bCs/>
        </w:rPr>
        <w:t xml:space="preserve"> campus</w:t>
      </w:r>
      <w:r>
        <w:rPr>
          <w:bCs/>
        </w:rPr>
        <w:t xml:space="preserve"> roads.</w:t>
      </w:r>
    </w:p>
    <w:p w14:paraId="1C880186" w14:textId="7EF2C4C3" w:rsidR="00157973" w:rsidRPr="00C507C5" w:rsidRDefault="00157973" w:rsidP="00725671">
      <w:pPr>
        <w:numPr>
          <w:ilvl w:val="0"/>
          <w:numId w:val="12"/>
        </w:numPr>
        <w:spacing w:after="0" w:line="240" w:lineRule="auto"/>
        <w:ind w:left="720" w:right="-180"/>
      </w:pPr>
      <w:r>
        <w:t>Aspects of the three circulation concepts can be combined with different features of the three land use concept maps.</w:t>
      </w:r>
    </w:p>
    <w:p w14:paraId="7BA6091E" w14:textId="77777777" w:rsidR="00B212BB" w:rsidRPr="00B212BB" w:rsidRDefault="00B212BB" w:rsidP="00692380">
      <w:pPr>
        <w:spacing w:after="0" w:line="240" w:lineRule="auto"/>
        <w:ind w:left="1260" w:right="-180"/>
      </w:pPr>
    </w:p>
    <w:p w14:paraId="29583811" w14:textId="152E983B" w:rsidR="00D66AA8" w:rsidRPr="00B212BB" w:rsidRDefault="00FA5660" w:rsidP="00692380">
      <w:pPr>
        <w:numPr>
          <w:ilvl w:val="0"/>
          <w:numId w:val="13"/>
        </w:numPr>
        <w:spacing w:after="0" w:line="240" w:lineRule="auto"/>
        <w:ind w:left="360" w:right="-180"/>
      </w:pPr>
      <w:r w:rsidRPr="00C507C5">
        <w:rPr>
          <w:b/>
          <w:bCs/>
        </w:rPr>
        <w:t xml:space="preserve">Other Features </w:t>
      </w:r>
      <w:r w:rsidR="00D66AA8">
        <w:rPr>
          <w:b/>
          <w:bCs/>
        </w:rPr>
        <w:t>T</w:t>
      </w:r>
      <w:r w:rsidRPr="00C507C5">
        <w:rPr>
          <w:b/>
          <w:bCs/>
        </w:rPr>
        <w:t>hat Support Student Success</w:t>
      </w:r>
      <w:r w:rsidR="00FF076A">
        <w:rPr>
          <w:b/>
          <w:bCs/>
        </w:rPr>
        <w:t>.</w:t>
      </w:r>
      <w:r w:rsidR="00157973">
        <w:rPr>
          <w:bCs/>
        </w:rPr>
        <w:t xml:space="preserve">  </w:t>
      </w:r>
    </w:p>
    <w:p w14:paraId="5CC39264" w14:textId="7617039C" w:rsidR="008B789F" w:rsidRDefault="008B789F" w:rsidP="00725671">
      <w:pPr>
        <w:numPr>
          <w:ilvl w:val="0"/>
          <w:numId w:val="20"/>
        </w:numPr>
        <w:spacing w:after="0" w:line="240" w:lineRule="auto"/>
        <w:ind w:left="630" w:right="-180"/>
      </w:pPr>
      <w:r w:rsidRPr="00C507C5">
        <w:t>Arena</w:t>
      </w:r>
      <w:r>
        <w:t xml:space="preserve"> – A</w:t>
      </w:r>
      <w:r w:rsidR="00FA5660">
        <w:t>n</w:t>
      </w:r>
      <w:r>
        <w:t xml:space="preserve"> </w:t>
      </w:r>
      <w:r w:rsidR="00B564A6">
        <w:t xml:space="preserve">arena </w:t>
      </w:r>
      <w:r w:rsidRPr="00302DA6">
        <w:t xml:space="preserve">could partially replace activities currently in Mott Gym – </w:t>
      </w:r>
      <w:r w:rsidR="00FA5660" w:rsidRPr="00302DA6">
        <w:t>e.g.,</w:t>
      </w:r>
      <w:r w:rsidRPr="00302DA6">
        <w:t xml:space="preserve"> as a venue for basketball games</w:t>
      </w:r>
      <w:r w:rsidR="00CC6C49">
        <w:t xml:space="preserve"> and concerts</w:t>
      </w:r>
      <w:r w:rsidR="00B564A6" w:rsidRPr="00302DA6">
        <w:t xml:space="preserve"> – as well as house large events associated</w:t>
      </w:r>
      <w:r w:rsidR="00B564A6">
        <w:t xml:space="preserve"> with Cal Poly’s academic programs</w:t>
      </w:r>
      <w:r>
        <w:t>.</w:t>
      </w:r>
      <w:r w:rsidR="00157973">
        <w:t xml:space="preserve">  The Land Use Concept maps show several alternative locations for an arena.</w:t>
      </w:r>
    </w:p>
    <w:p w14:paraId="34D40AC1" w14:textId="77777777" w:rsidR="00157973" w:rsidRPr="00C507C5" w:rsidRDefault="00157973" w:rsidP="00725671">
      <w:pPr>
        <w:spacing w:after="0" w:line="240" w:lineRule="auto"/>
        <w:ind w:left="630" w:right="-180"/>
      </w:pPr>
    </w:p>
    <w:p w14:paraId="55D3FB5D" w14:textId="21AC185F" w:rsidR="008B789F" w:rsidRDefault="008B789F" w:rsidP="00725671">
      <w:pPr>
        <w:numPr>
          <w:ilvl w:val="0"/>
          <w:numId w:val="20"/>
        </w:numPr>
        <w:spacing w:after="0" w:line="240" w:lineRule="auto"/>
        <w:ind w:left="630" w:right="-180"/>
      </w:pPr>
      <w:r w:rsidRPr="00C507C5">
        <w:t>Conference Center/Hotel</w:t>
      </w:r>
      <w:r>
        <w:t xml:space="preserve"> – Cal Poly is exploring the potential for adding an academic program that serves the growing hospitality industry.  A hotel would provide learning opportunities for students in such a program and provide overnight accommodation for alumni, parents and visitors.  The companion conference center would provide an opportunity for Cal Poly to host academic and professional meetings.</w:t>
      </w:r>
      <w:r w:rsidR="00157973">
        <w:t xml:space="preserve">  The Land Use Concept maps show several possible locations for a conference center and hotel.</w:t>
      </w:r>
    </w:p>
    <w:p w14:paraId="45AD652E" w14:textId="77777777" w:rsidR="00157973" w:rsidRPr="00C507C5" w:rsidRDefault="00157973" w:rsidP="00725671">
      <w:pPr>
        <w:spacing w:after="0" w:line="240" w:lineRule="auto"/>
        <w:ind w:left="630" w:right="-180"/>
      </w:pPr>
    </w:p>
    <w:p w14:paraId="405F1459" w14:textId="5FE65086" w:rsidR="006920C2" w:rsidRDefault="00FA5660" w:rsidP="00725671">
      <w:pPr>
        <w:numPr>
          <w:ilvl w:val="0"/>
          <w:numId w:val="20"/>
        </w:numPr>
        <w:spacing w:after="0" w:line="240" w:lineRule="auto"/>
        <w:ind w:left="630" w:right="-180"/>
      </w:pPr>
      <w:r w:rsidRPr="00C507C5">
        <w:t>Industry Partnerships</w:t>
      </w:r>
      <w:r w:rsidR="00BB0242">
        <w:t xml:space="preserve"> – The area labeled “Biz Hub” on Mount Bishop Road already includes Cal Poly’s Tech Park and has space for additional facilities to support start-up companies, non-profit organizations, and other entrepreneurial activities </w:t>
      </w:r>
      <w:r>
        <w:t>that involve students and faculty</w:t>
      </w:r>
      <w:r w:rsidR="008B789F">
        <w:t>.</w:t>
      </w:r>
    </w:p>
    <w:p w14:paraId="7399017F" w14:textId="649603D1" w:rsidR="00157973" w:rsidRDefault="00157973" w:rsidP="00725671">
      <w:pPr>
        <w:tabs>
          <w:tab w:val="left" w:pos="8130"/>
        </w:tabs>
        <w:spacing w:after="0" w:line="240" w:lineRule="auto"/>
        <w:ind w:left="630" w:right="-180" w:firstLine="8130"/>
      </w:pPr>
    </w:p>
    <w:p w14:paraId="7557AAC3" w14:textId="21918A85" w:rsidR="00D66AA8" w:rsidRDefault="00B564A6" w:rsidP="00725671">
      <w:pPr>
        <w:numPr>
          <w:ilvl w:val="0"/>
          <w:numId w:val="20"/>
        </w:numPr>
        <w:spacing w:after="0" w:line="240" w:lineRule="auto"/>
        <w:ind w:left="630"/>
      </w:pPr>
      <w:r w:rsidRPr="00302DA6">
        <w:t xml:space="preserve">Areas under Study – </w:t>
      </w:r>
      <w:r w:rsidR="008B789F" w:rsidRPr="00302DA6">
        <w:t xml:space="preserve">The three </w:t>
      </w:r>
      <w:r w:rsidR="00FA5660" w:rsidRPr="00302DA6">
        <w:t>Land Use Concept</w:t>
      </w:r>
      <w:r w:rsidR="008B789F" w:rsidRPr="00302DA6">
        <w:t xml:space="preserve"> maps designate some land west of the RR tracks on either side of Highland Drive for further study (light tan).  These areas are currently in agricultural use</w:t>
      </w:r>
      <w:r w:rsidR="00D66AA8">
        <w:t xml:space="preserve"> and some or all</w:t>
      </w:r>
      <w:r w:rsidR="008B789F" w:rsidRPr="00302DA6">
        <w:t xml:space="preserve"> might likely continue as such.  Yet, because of their proximity to Highway One and the Campus Core, the </w:t>
      </w:r>
      <w:r w:rsidR="00D66AA8">
        <w:t>University</w:t>
      </w:r>
      <w:r w:rsidR="008B789F" w:rsidRPr="00302DA6">
        <w:t xml:space="preserve"> is studying </w:t>
      </w:r>
      <w:r w:rsidRPr="00302DA6">
        <w:t xml:space="preserve">them </w:t>
      </w:r>
      <w:r w:rsidR="008B789F" w:rsidRPr="00302DA6">
        <w:t>further</w:t>
      </w:r>
      <w:r w:rsidR="00807F8E">
        <w:t>.</w:t>
      </w:r>
      <w:r w:rsidR="00CC6C49">
        <w:t xml:space="preserve"> </w:t>
      </w:r>
      <w:r w:rsidR="00807F8E">
        <w:t xml:space="preserve"> A</w:t>
      </w:r>
      <w:r w:rsidRPr="00302DA6">
        <w:t>s Cal Poly seeks the financial means to implement a new master plan, some of these areas may lend themselves to public-private partnership activities that could subsidize facilities essential to meeting student and faculty needs.</w:t>
      </w:r>
    </w:p>
    <w:sectPr w:rsidR="00D66AA8" w:rsidSect="00B21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EFD66" w14:textId="77777777" w:rsidR="00222DA5" w:rsidRDefault="00222DA5" w:rsidP="00FA5660">
      <w:pPr>
        <w:spacing w:after="0" w:line="240" w:lineRule="auto"/>
      </w:pPr>
      <w:r>
        <w:separator/>
      </w:r>
    </w:p>
  </w:endnote>
  <w:endnote w:type="continuationSeparator" w:id="0">
    <w:p w14:paraId="6339FD8A" w14:textId="77777777" w:rsidR="00222DA5" w:rsidRDefault="00222DA5" w:rsidP="00FA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E631" w14:textId="77777777" w:rsidR="00976D44" w:rsidRDefault="00976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0AF9F" w14:textId="77777777" w:rsidR="00976D44" w:rsidRDefault="00976D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0F498" w14:textId="77777777" w:rsidR="00976D44" w:rsidRDefault="00976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8D5B3" w14:textId="77777777" w:rsidR="00222DA5" w:rsidRDefault="00222DA5" w:rsidP="00FA5660">
      <w:pPr>
        <w:spacing w:after="0" w:line="240" w:lineRule="auto"/>
      </w:pPr>
      <w:r>
        <w:separator/>
      </w:r>
    </w:p>
  </w:footnote>
  <w:footnote w:type="continuationSeparator" w:id="0">
    <w:p w14:paraId="30A51D16" w14:textId="77777777" w:rsidR="00222DA5" w:rsidRDefault="00222DA5" w:rsidP="00FA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AF722" w14:textId="77777777" w:rsidR="00976D44" w:rsidRDefault="00976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41FA2" w14:textId="730BBFA7" w:rsidR="00976D44" w:rsidRDefault="00976D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568C" w14:textId="77777777" w:rsidR="00976D44" w:rsidRDefault="00976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17F"/>
    <w:multiLevelType w:val="hybridMultilevel"/>
    <w:tmpl w:val="683C457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7402BD7"/>
    <w:multiLevelType w:val="hybridMultilevel"/>
    <w:tmpl w:val="5CE08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9699B"/>
    <w:multiLevelType w:val="hybridMultilevel"/>
    <w:tmpl w:val="41DE44F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5A97417"/>
    <w:multiLevelType w:val="hybridMultilevel"/>
    <w:tmpl w:val="D618E3D4"/>
    <w:lvl w:ilvl="0" w:tplc="E4B220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6587810">
      <w:start w:val="74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59C2C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4A86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3CEF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CCEB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9BEC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0FEF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8B92DD8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>
    <w:nsid w:val="2BB867F4"/>
    <w:multiLevelType w:val="hybridMultilevel"/>
    <w:tmpl w:val="7246716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D3F7287"/>
    <w:multiLevelType w:val="hybridMultilevel"/>
    <w:tmpl w:val="FF88A4C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E0C2EA6"/>
    <w:multiLevelType w:val="hybridMultilevel"/>
    <w:tmpl w:val="C0DADE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31997EBA"/>
    <w:multiLevelType w:val="hybridMultilevel"/>
    <w:tmpl w:val="E6A603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F60053"/>
    <w:multiLevelType w:val="hybridMultilevel"/>
    <w:tmpl w:val="432EBC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163695"/>
    <w:multiLevelType w:val="hybridMultilevel"/>
    <w:tmpl w:val="4CB0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1F2D20"/>
    <w:multiLevelType w:val="hybridMultilevel"/>
    <w:tmpl w:val="B1F46D3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4D446067"/>
    <w:multiLevelType w:val="hybridMultilevel"/>
    <w:tmpl w:val="47DAF3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54B27FA2"/>
    <w:multiLevelType w:val="hybridMultilevel"/>
    <w:tmpl w:val="5E1CE58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54E8150D"/>
    <w:multiLevelType w:val="hybridMultilevel"/>
    <w:tmpl w:val="AD2E5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6A61A2"/>
    <w:multiLevelType w:val="hybridMultilevel"/>
    <w:tmpl w:val="BB8A3EE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617512EF"/>
    <w:multiLevelType w:val="hybridMultilevel"/>
    <w:tmpl w:val="04BE3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1718B5"/>
    <w:multiLevelType w:val="hybridMultilevel"/>
    <w:tmpl w:val="3C8AFB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2D7B04"/>
    <w:multiLevelType w:val="hybridMultilevel"/>
    <w:tmpl w:val="1F72C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FE23DA"/>
    <w:multiLevelType w:val="hybridMultilevel"/>
    <w:tmpl w:val="54A47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792A4F"/>
    <w:multiLevelType w:val="hybridMultilevel"/>
    <w:tmpl w:val="A31AC8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18"/>
  </w:num>
  <w:num w:numId="6">
    <w:abstractNumId w:val="13"/>
  </w:num>
  <w:num w:numId="7">
    <w:abstractNumId w:val="10"/>
  </w:num>
  <w:num w:numId="8">
    <w:abstractNumId w:val="9"/>
  </w:num>
  <w:num w:numId="9">
    <w:abstractNumId w:val="19"/>
  </w:num>
  <w:num w:numId="10">
    <w:abstractNumId w:val="14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5"/>
  </w:num>
  <w:num w:numId="16">
    <w:abstractNumId w:val="6"/>
  </w:num>
  <w:num w:numId="17">
    <w:abstractNumId w:val="17"/>
  </w:num>
  <w:num w:numId="18">
    <w:abstractNumId w:val="15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5"/>
    <w:rsid w:val="0004318B"/>
    <w:rsid w:val="00043C6F"/>
    <w:rsid w:val="00054655"/>
    <w:rsid w:val="00072BA2"/>
    <w:rsid w:val="000C2A2A"/>
    <w:rsid w:val="000D65D4"/>
    <w:rsid w:val="001102A7"/>
    <w:rsid w:val="00157973"/>
    <w:rsid w:val="00222DA5"/>
    <w:rsid w:val="00265456"/>
    <w:rsid w:val="002E7EFB"/>
    <w:rsid w:val="00302DA6"/>
    <w:rsid w:val="003452D4"/>
    <w:rsid w:val="003B0753"/>
    <w:rsid w:val="0042236B"/>
    <w:rsid w:val="00516892"/>
    <w:rsid w:val="0053276F"/>
    <w:rsid w:val="0057661D"/>
    <w:rsid w:val="00592183"/>
    <w:rsid w:val="005A177A"/>
    <w:rsid w:val="006401E6"/>
    <w:rsid w:val="00646479"/>
    <w:rsid w:val="006920C2"/>
    <w:rsid w:val="00692380"/>
    <w:rsid w:val="00725671"/>
    <w:rsid w:val="00750202"/>
    <w:rsid w:val="007A4DC7"/>
    <w:rsid w:val="007D470E"/>
    <w:rsid w:val="00807F8E"/>
    <w:rsid w:val="008B789F"/>
    <w:rsid w:val="00976D44"/>
    <w:rsid w:val="00B122D7"/>
    <w:rsid w:val="00B212BB"/>
    <w:rsid w:val="00B564A6"/>
    <w:rsid w:val="00BB0242"/>
    <w:rsid w:val="00BD4E70"/>
    <w:rsid w:val="00C37733"/>
    <w:rsid w:val="00C507C5"/>
    <w:rsid w:val="00C90727"/>
    <w:rsid w:val="00C94A4C"/>
    <w:rsid w:val="00CA5334"/>
    <w:rsid w:val="00CC6C49"/>
    <w:rsid w:val="00D66AA8"/>
    <w:rsid w:val="00D771EB"/>
    <w:rsid w:val="00DB5D34"/>
    <w:rsid w:val="00DB6048"/>
    <w:rsid w:val="00E74181"/>
    <w:rsid w:val="00F11D88"/>
    <w:rsid w:val="00F71672"/>
    <w:rsid w:val="00FA0AFF"/>
    <w:rsid w:val="00FA17FF"/>
    <w:rsid w:val="00FA5660"/>
    <w:rsid w:val="00FB6D63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3E1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60"/>
  </w:style>
  <w:style w:type="paragraph" w:styleId="Footer">
    <w:name w:val="footer"/>
    <w:basedOn w:val="Normal"/>
    <w:link w:val="FooterChar"/>
    <w:uiPriority w:val="99"/>
    <w:unhideWhenUsed/>
    <w:rsid w:val="00FA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60"/>
  </w:style>
  <w:style w:type="character" w:styleId="CommentReference">
    <w:name w:val="annotation reference"/>
    <w:basedOn w:val="DefaultParagraphFont"/>
    <w:uiPriority w:val="99"/>
    <w:semiHidden/>
    <w:unhideWhenUsed/>
    <w:rsid w:val="002654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4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4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4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4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4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60"/>
  </w:style>
  <w:style w:type="paragraph" w:styleId="Footer">
    <w:name w:val="footer"/>
    <w:basedOn w:val="Normal"/>
    <w:link w:val="FooterChar"/>
    <w:uiPriority w:val="99"/>
    <w:unhideWhenUsed/>
    <w:rsid w:val="00FA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60"/>
  </w:style>
  <w:style w:type="character" w:styleId="CommentReference">
    <w:name w:val="annotation reference"/>
    <w:basedOn w:val="DefaultParagraphFont"/>
    <w:uiPriority w:val="99"/>
    <w:semiHidden/>
    <w:unhideWhenUsed/>
    <w:rsid w:val="002654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4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4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4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4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4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0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7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Affairs Cal Poly State University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Dalton</dc:creator>
  <cp:lastModifiedBy>Linda Dalton</cp:lastModifiedBy>
  <cp:revision>4</cp:revision>
  <cp:lastPrinted>2015-05-10T16:14:00Z</cp:lastPrinted>
  <dcterms:created xsi:type="dcterms:W3CDTF">2015-05-13T23:51:00Z</dcterms:created>
  <dcterms:modified xsi:type="dcterms:W3CDTF">2015-05-14T14:46:00Z</dcterms:modified>
</cp:coreProperties>
</file>